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62BB7" w:rsidRPr="003A3DC0" w:rsidRDefault="00862BB7" w:rsidP="003A3DC0">
      <w:pPr>
        <w:adjustRightInd w:val="0"/>
        <w:snapToGrid w:val="0"/>
        <w:spacing w:after="0"/>
        <w:jc w:val="center"/>
        <w:rPr>
          <w:rFonts w:cs="Arial"/>
          <w:b/>
          <w:szCs w:val="20"/>
        </w:rPr>
      </w:pPr>
      <w:r w:rsidRPr="003A3DC0">
        <w:rPr>
          <w:rFonts w:cs="Arial"/>
          <w:b/>
          <w:szCs w:val="20"/>
        </w:rPr>
        <w:t>PHỤ LỤC 10</w:t>
      </w:r>
    </w:p>
    <w:p w:rsidR="00862BB7" w:rsidRPr="003A3DC0" w:rsidRDefault="00862BB7" w:rsidP="003A3DC0">
      <w:pPr>
        <w:adjustRightInd w:val="0"/>
        <w:snapToGrid w:val="0"/>
        <w:spacing w:after="0"/>
        <w:jc w:val="center"/>
        <w:rPr>
          <w:rFonts w:cs="Arial"/>
          <w:i/>
          <w:szCs w:val="20"/>
        </w:rPr>
      </w:pPr>
      <w:r w:rsidRPr="003A3DC0">
        <w:rPr>
          <w:rFonts w:cs="Arial"/>
          <w:b/>
          <w:bCs/>
          <w:szCs w:val="20"/>
        </w:rPr>
        <w:t>GIÁ TRỊ D</w:t>
      </w:r>
      <w:r w:rsidRPr="003A3DC0">
        <w:rPr>
          <w:rFonts w:cs="Arial"/>
          <w:b/>
          <w:bCs/>
          <w:szCs w:val="20"/>
          <w:vertAlign w:val="subscript"/>
        </w:rPr>
        <w:t>2</w:t>
      </w:r>
      <w:r w:rsidRPr="003A3DC0">
        <w:rPr>
          <w:rFonts w:cs="Arial"/>
          <w:b/>
          <w:bCs/>
          <w:szCs w:val="20"/>
        </w:rPr>
        <w:br/>
      </w:r>
      <w:r w:rsidRPr="003A3DC0">
        <w:rPr>
          <w:rFonts w:cs="Arial"/>
          <w:i/>
          <w:szCs w:val="20"/>
        </w:rPr>
        <w:t xml:space="preserve">(Kèm theo Thông tư số 59/2025/TT-BKHCN ngày 31 tháng 12 năm 2025 </w:t>
      </w:r>
      <w:r w:rsidRPr="003A3DC0">
        <w:rPr>
          <w:rFonts w:cs="Arial"/>
          <w:i/>
          <w:szCs w:val="20"/>
        </w:rPr>
        <w:br/>
        <w:t>của Bộ trưởng Bộ Khoa học và Công nghệ)</w:t>
      </w:r>
    </w:p>
    <w:p w:rsidR="00862BB7" w:rsidRPr="003A3DC0" w:rsidRDefault="00862BB7" w:rsidP="003A3DC0">
      <w:pPr>
        <w:adjustRightInd w:val="0"/>
        <w:snapToGrid w:val="0"/>
        <w:spacing w:after="0"/>
        <w:jc w:val="center"/>
        <w:rPr>
          <w:rFonts w:cs="Arial"/>
          <w:szCs w:val="20"/>
        </w:rPr>
      </w:pPr>
    </w:p>
    <w:p w:rsidR="00862BB7" w:rsidRPr="003A3DC0" w:rsidRDefault="00862BB7" w:rsidP="003A3DC0">
      <w:pPr>
        <w:adjustRightInd w:val="0"/>
        <w:snapToGrid w:val="0"/>
        <w:ind w:firstLine="720"/>
        <w:jc w:val="both"/>
        <w:rPr>
          <w:rFonts w:cs="Arial"/>
          <w:szCs w:val="20"/>
        </w:rPr>
      </w:pPr>
      <w:r w:rsidRPr="003A3DC0">
        <w:rPr>
          <w:rFonts w:cs="Arial"/>
          <w:szCs w:val="20"/>
        </w:rPr>
        <w:t>Giá trị D</w:t>
      </w:r>
      <w:r w:rsidRPr="003A3DC0">
        <w:rPr>
          <w:rFonts w:cs="Arial"/>
          <w:szCs w:val="20"/>
          <w:vertAlign w:val="subscript"/>
        </w:rPr>
        <w:t>2</w:t>
      </w:r>
      <w:r w:rsidRPr="003A3DC0">
        <w:rPr>
          <w:rFonts w:cs="Arial"/>
          <w:szCs w:val="20"/>
        </w:rPr>
        <w:t xml:space="preserve"> là hoạt độ của một đồng vị phóng xạ nếu bị mất kiểm soát và phát tán ra môi trường sẽ dẫn đến sự cố có khả năng gây ra các hiệu ứng sinh học tất định nghiêm trọng. Giá trị D</w:t>
      </w:r>
      <w:r w:rsidRPr="003A3DC0">
        <w:rPr>
          <w:rFonts w:cs="Arial"/>
          <w:szCs w:val="20"/>
          <w:vertAlign w:val="subscript"/>
        </w:rPr>
        <w:t>2</w:t>
      </w:r>
      <w:r w:rsidRPr="003A3DC0">
        <w:rPr>
          <w:rFonts w:cs="Arial"/>
          <w:szCs w:val="20"/>
        </w:rPr>
        <w:t xml:space="preserve"> theo quy định tại Phụ lục 3 của Thông tư này. Giá trị D</w:t>
      </w:r>
      <w:r w:rsidRPr="003A3DC0">
        <w:rPr>
          <w:rFonts w:cs="Arial"/>
          <w:szCs w:val="20"/>
          <w:vertAlign w:val="subscript"/>
        </w:rPr>
        <w:t>2</w:t>
      </w:r>
      <w:r w:rsidRPr="003A3DC0">
        <w:rPr>
          <w:rFonts w:cs="Arial"/>
          <w:szCs w:val="20"/>
        </w:rPr>
        <w:t xml:space="preserve"> trong Phụ lục này được trích từ tài liệu của Cơ quan Năng lượng nguyên tử quốc tế (IAEA) và được cập nhật khi cần thiết hoặc theo phiên bản mới nhất của IAEA.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537"/>
        <w:gridCol w:w="4483"/>
      </w:tblGrid>
      <w:tr w:rsidR="00862BB7" w:rsidRPr="003A3DC0" w:rsidTr="003A3DC0">
        <w:tblPrEx>
          <w:tblCellMar>
            <w:top w:w="0" w:type="dxa"/>
            <w:left w:w="0" w:type="dxa"/>
            <w:bottom w:w="0" w:type="dxa"/>
            <w:right w:w="0" w:type="dxa"/>
          </w:tblCellMar>
        </w:tblPrEx>
        <w:tc>
          <w:tcPr>
            <w:tcW w:w="5000" w:type="pct"/>
            <w:gridSpan w:val="2"/>
            <w:shd w:val="clear" w:color="auto" w:fill="FFFFFF"/>
            <w:vAlign w:val="center"/>
          </w:tcPr>
          <w:p w:rsidR="00862BB7" w:rsidRPr="003A3DC0" w:rsidRDefault="00862BB7" w:rsidP="003A3DC0">
            <w:pPr>
              <w:spacing w:after="0"/>
              <w:jc w:val="center"/>
              <w:rPr>
                <w:rFonts w:cs="Arial"/>
                <w:b/>
                <w:szCs w:val="20"/>
              </w:rPr>
            </w:pPr>
            <w:r w:rsidRPr="003A3DC0">
              <w:rPr>
                <w:rFonts w:cs="Arial"/>
                <w:b/>
                <w:szCs w:val="20"/>
              </w:rPr>
              <w:t>Bảng giá trị D</w:t>
            </w:r>
            <w:r w:rsidRPr="003A3DC0">
              <w:rPr>
                <w:rFonts w:cs="Arial"/>
                <w:b/>
                <w:szCs w:val="20"/>
                <w:vertAlign w:val="subscript"/>
              </w:rPr>
              <w:t>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b/>
                <w:szCs w:val="20"/>
              </w:rPr>
            </w:pPr>
            <w:r w:rsidRPr="003A3DC0">
              <w:rPr>
                <w:rFonts w:cs="Arial"/>
                <w:b/>
                <w:szCs w:val="20"/>
              </w:rPr>
              <w:t>Nhân phóng xạ</w:t>
            </w:r>
          </w:p>
        </w:tc>
        <w:tc>
          <w:tcPr>
            <w:tcW w:w="2485" w:type="pct"/>
            <w:shd w:val="clear" w:color="auto" w:fill="FFFFFF"/>
            <w:vAlign w:val="center"/>
          </w:tcPr>
          <w:p w:rsidR="00862BB7" w:rsidRPr="003A3DC0" w:rsidRDefault="00862BB7" w:rsidP="003A3DC0">
            <w:pPr>
              <w:spacing w:after="0"/>
              <w:jc w:val="center"/>
              <w:rPr>
                <w:rFonts w:cs="Arial"/>
                <w:b/>
                <w:szCs w:val="20"/>
              </w:rPr>
            </w:pPr>
            <w:r w:rsidRPr="003A3DC0">
              <w:rPr>
                <w:rFonts w:cs="Arial"/>
                <w:b/>
                <w:szCs w:val="20"/>
              </w:rPr>
              <w:t>Hoạt độ (TBq)</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Am-241</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Am-241/Be</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Au-198</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3.E+01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Cd-109</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3.E+01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Cf-252</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1.E-02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Cm-244</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5.E-02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Co-57</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4.E+02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Co-60</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3.E+01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Cs-137</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Fe-55</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8.E+02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Gd-153</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8.E+01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Ge-68</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H-3</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2.E+05</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I-123</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I-125</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I-131</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Kr-85</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2.E+03</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Mo-99</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Ni-63</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P-32</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Pb-210</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Po-210</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Pu-238</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Pu-239/Be</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Ra-226</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7.E-02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Ru-106(Rh-106)</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Sm-153</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Sr-90(Y-90)</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1.E+00</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Tc-99m</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1.E+01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Tl-201</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Tm-170</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Yb-169</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3.E+01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Am-241/Be</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Am-241</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Au-198</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Cd-109</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Cf-252</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Cm-244</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5.E-02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Co-57</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7.E-01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Co-60</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3.E-02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Cs-137</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Fe-55</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Gd-153</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1.E+00</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Ge-68</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1.E-01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H-3</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2.E+03</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I-125</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1.E+00</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Ir-192</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Kr-85</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3.E+01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Mo-99</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8.E-01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Ni-63</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Pd-103</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9.E+01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Pm-147</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2.E+00</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Po-210</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4.E-02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Pu-238</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Pu-239/Be</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6.E-02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Ra-226</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4.E-02</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Ru-106(Rh-106)</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3.E-01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Se-75</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Sr-90(Y-90)</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1.E+00</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Tc-99m</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7.E-01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Tl-204</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Tm-170</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2.E+01</w:t>
            </w:r>
          </w:p>
        </w:tc>
      </w:tr>
      <w:tr w:rsidR="00862BB7" w:rsidRPr="003A3DC0" w:rsidTr="003A3DC0">
        <w:tblPrEx>
          <w:tblCellMar>
            <w:top w:w="0" w:type="dxa"/>
            <w:left w:w="0" w:type="dxa"/>
            <w:bottom w:w="0" w:type="dxa"/>
            <w:right w:w="0" w:type="dxa"/>
          </w:tblCellMar>
        </w:tblPrEx>
        <w:tc>
          <w:tcPr>
            <w:tcW w:w="251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Yb-169</w:t>
            </w:r>
          </w:p>
        </w:tc>
        <w:tc>
          <w:tcPr>
            <w:tcW w:w="2485" w:type="pct"/>
            <w:shd w:val="clear" w:color="auto" w:fill="FFFFFF"/>
            <w:vAlign w:val="center"/>
          </w:tcPr>
          <w:p w:rsidR="00862BB7" w:rsidRPr="003A3DC0" w:rsidRDefault="00862BB7" w:rsidP="003A3DC0">
            <w:pPr>
              <w:spacing w:after="0"/>
              <w:jc w:val="center"/>
              <w:rPr>
                <w:rFonts w:cs="Arial"/>
                <w:szCs w:val="20"/>
              </w:rPr>
            </w:pPr>
            <w:r w:rsidRPr="003A3DC0">
              <w:rPr>
                <w:rFonts w:cs="Arial"/>
                <w:szCs w:val="20"/>
              </w:rPr>
              <w:t>3.E-01</w:t>
            </w:r>
          </w:p>
        </w:tc>
      </w:tr>
    </w:tbl>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BB7"/>
    <w:rsid w:val="00225B67"/>
    <w:rsid w:val="003E1C24"/>
    <w:rsid w:val="00545F0C"/>
    <w:rsid w:val="00556DE7"/>
    <w:rsid w:val="00862BB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5CBEEF-C2C0-49BA-B5B2-5719B7DE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B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2B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2BB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2BB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62BB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62BB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62BB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62BB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62BB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BB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2BB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2BB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2BB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62BB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62BB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2BB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2BB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2BB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2BB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B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BB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BB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62BB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62BB7"/>
    <w:rPr>
      <w:i/>
      <w:iCs/>
      <w:color w:val="404040" w:themeColor="text1" w:themeTint="BF"/>
    </w:rPr>
  </w:style>
  <w:style w:type="paragraph" w:styleId="ListParagraph">
    <w:name w:val="List Paragraph"/>
    <w:basedOn w:val="Normal"/>
    <w:uiPriority w:val="34"/>
    <w:qFormat/>
    <w:rsid w:val="00862BB7"/>
    <w:pPr>
      <w:ind w:left="720"/>
      <w:contextualSpacing/>
    </w:pPr>
  </w:style>
  <w:style w:type="character" w:styleId="IntenseEmphasis">
    <w:name w:val="Intense Emphasis"/>
    <w:basedOn w:val="DefaultParagraphFont"/>
    <w:uiPriority w:val="21"/>
    <w:qFormat/>
    <w:rsid w:val="00862BB7"/>
    <w:rPr>
      <w:i/>
      <w:iCs/>
      <w:color w:val="2F5496" w:themeColor="accent1" w:themeShade="BF"/>
    </w:rPr>
  </w:style>
  <w:style w:type="paragraph" w:styleId="IntenseQuote">
    <w:name w:val="Intense Quote"/>
    <w:basedOn w:val="Normal"/>
    <w:next w:val="Normal"/>
    <w:link w:val="IntenseQuoteChar"/>
    <w:uiPriority w:val="30"/>
    <w:qFormat/>
    <w:rsid w:val="00862B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2BB7"/>
    <w:rPr>
      <w:i/>
      <w:iCs/>
      <w:color w:val="2F5496" w:themeColor="accent1" w:themeShade="BF"/>
    </w:rPr>
  </w:style>
  <w:style w:type="character" w:styleId="IntenseReference">
    <w:name w:val="Intense Reference"/>
    <w:basedOn w:val="DefaultParagraphFont"/>
    <w:uiPriority w:val="32"/>
    <w:qFormat/>
    <w:rsid w:val="00862BB7"/>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862BB7"/>
    <w:pPr>
      <w:tabs>
        <w:tab w:val="left" w:pos="1152"/>
      </w:tabs>
      <w:spacing w:before="120" w:line="312" w:lineRule="auto"/>
    </w:pPr>
    <w:rPr>
      <w:rFonts w:eastAsia="Times New Roman"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1306</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